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487529472">
            <wp:simplePos x="0" y="0"/>
            <wp:positionH relativeFrom="page">
              <wp:posOffset>8889</wp:posOffset>
            </wp:positionH>
            <wp:positionV relativeFrom="page">
              <wp:posOffset>0</wp:posOffset>
            </wp:positionV>
            <wp:extent cx="7550784" cy="252475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550784" cy="2524759"/>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7"/>
        </w:rPr>
      </w:pPr>
    </w:p>
    <w:p>
      <w:pPr>
        <w:pStyle w:val="Title"/>
        <w:spacing w:line="276" w:lineRule="auto"/>
      </w:pPr>
      <w:r>
        <w:rPr>
          <w:color w:val="004493"/>
        </w:rPr>
        <w:t>Statement 04/2021 on international agreements including transfers</w:t>
      </w:r>
    </w:p>
    <w:p>
      <w:pPr>
        <w:spacing w:line="388" w:lineRule="exact" w:before="0"/>
        <w:ind w:left="2897" w:right="2916" w:firstLine="0"/>
        <w:jc w:val="center"/>
        <w:rPr>
          <w:b/>
          <w:sz w:val="32"/>
        </w:rPr>
      </w:pPr>
      <w:r>
        <w:rPr>
          <w:b/>
          <w:color w:val="004493"/>
          <w:sz w:val="32"/>
        </w:rPr>
        <w:t>Adopted on 13 April 2021</w:t>
      </w:r>
    </w:p>
    <w:p>
      <w:pPr>
        <w:pStyle w:val="BodyText"/>
        <w:rPr>
          <w:b/>
          <w:sz w:val="32"/>
        </w:rPr>
      </w:pPr>
    </w:p>
    <w:p>
      <w:pPr>
        <w:spacing w:before="267"/>
        <w:ind w:left="100" w:right="0" w:firstLine="0"/>
        <w:jc w:val="both"/>
        <w:rPr>
          <w:b/>
          <w:sz w:val="24"/>
        </w:rPr>
      </w:pPr>
      <w:r>
        <w:rPr>
          <w:b/>
          <w:sz w:val="24"/>
        </w:rPr>
        <w:t>The European Data Protection Board has adopted the following statement:</w:t>
      </w:r>
    </w:p>
    <w:p>
      <w:pPr>
        <w:pStyle w:val="BodyText"/>
        <w:rPr>
          <w:b/>
          <w:sz w:val="33"/>
        </w:rPr>
      </w:pPr>
    </w:p>
    <w:p>
      <w:pPr>
        <w:pStyle w:val="BodyText"/>
        <w:spacing w:line="276" w:lineRule="auto"/>
        <w:ind w:left="100" w:right="115"/>
        <w:jc w:val="both"/>
      </w:pPr>
      <w:r>
        <w:rPr/>
        <w:t>As the EDPB/national Supervisory Authorities have been receiving questions about the exchange of personal data between public authorities under existing international agreements in different areas, the EDPB wishes to recall the requirements of Article 96 GDPR and Article 61 Law Enforcement Directive (LED). According to those provisions, all international agreements involving the transfer of personal data to third countries or international organisations which were concluded by the EU Member States prior to 24 May 2016 or 6 May 2016 respectively, and which comply with Union law as applicable prior to that date, shall remain in force until amended, replaced or revoked.</w:t>
      </w:r>
    </w:p>
    <w:p>
      <w:pPr>
        <w:pStyle w:val="BodyText"/>
        <w:spacing w:before="5"/>
        <w:rPr>
          <w:sz w:val="16"/>
        </w:rPr>
      </w:pPr>
    </w:p>
    <w:p>
      <w:pPr>
        <w:pStyle w:val="BodyText"/>
        <w:spacing w:line="276" w:lineRule="auto"/>
        <w:ind w:left="100" w:right="112"/>
        <w:jc w:val="both"/>
      </w:pPr>
      <w:r>
        <w:rPr/>
        <w:t>The EDPB deems that, in order to ensure that the level of protection of natural persons guaranteed by the GDPR and the LED is not undermined when personal data is transferred outside the Union, consideration should be given to the aim of bringing these agreements in line with the GDPR and LED requirements for data transfers where this is not yet the case.</w:t>
      </w:r>
    </w:p>
    <w:p>
      <w:pPr>
        <w:pStyle w:val="BodyText"/>
        <w:spacing w:before="5"/>
        <w:rPr>
          <w:sz w:val="16"/>
        </w:rPr>
      </w:pPr>
    </w:p>
    <w:p>
      <w:pPr>
        <w:pStyle w:val="BodyText"/>
        <w:spacing w:line="276" w:lineRule="auto"/>
        <w:ind w:left="100" w:right="114"/>
        <w:jc w:val="both"/>
      </w:pPr>
      <w:r>
        <w:rPr/>
        <w:t>The EDPB therefore invites the Member States to assess and, where necessary, review their international agreements that involve international transfers of personal data, such as those relating to</w:t>
      </w:r>
      <w:r>
        <w:rPr>
          <w:spacing w:val="-3"/>
        </w:rPr>
        <w:t> </w:t>
      </w:r>
      <w:r>
        <w:rPr/>
        <w:t>taxation</w:t>
      </w:r>
      <w:r>
        <w:rPr>
          <w:spacing w:val="-4"/>
        </w:rPr>
        <w:t> </w:t>
      </w:r>
      <w:r>
        <w:rPr/>
        <w:t>(e.g.</w:t>
      </w:r>
      <w:r>
        <w:rPr>
          <w:spacing w:val="-4"/>
        </w:rPr>
        <w:t> </w:t>
      </w:r>
      <w:r>
        <w:rPr/>
        <w:t>to the</w:t>
      </w:r>
      <w:r>
        <w:rPr>
          <w:spacing w:val="-1"/>
        </w:rPr>
        <w:t> </w:t>
      </w:r>
      <w:r>
        <w:rPr/>
        <w:t>automatic</w:t>
      </w:r>
      <w:r>
        <w:rPr>
          <w:spacing w:val="-4"/>
        </w:rPr>
        <w:t> </w:t>
      </w:r>
      <w:r>
        <w:rPr/>
        <w:t>exchange</w:t>
      </w:r>
      <w:r>
        <w:rPr>
          <w:spacing w:val="-3"/>
        </w:rPr>
        <w:t> </w:t>
      </w:r>
      <w:r>
        <w:rPr/>
        <w:t>of</w:t>
      </w:r>
      <w:r>
        <w:rPr>
          <w:spacing w:val="-3"/>
        </w:rPr>
        <w:t> </w:t>
      </w:r>
      <w:r>
        <w:rPr/>
        <w:t>personal</w:t>
      </w:r>
      <w:r>
        <w:rPr>
          <w:spacing w:val="-2"/>
        </w:rPr>
        <w:t> </w:t>
      </w:r>
      <w:r>
        <w:rPr/>
        <w:t>data</w:t>
      </w:r>
      <w:r>
        <w:rPr>
          <w:spacing w:val="-4"/>
        </w:rPr>
        <w:t> </w:t>
      </w:r>
      <w:r>
        <w:rPr/>
        <w:t>for</w:t>
      </w:r>
      <w:r>
        <w:rPr>
          <w:spacing w:val="-3"/>
        </w:rPr>
        <w:t> </w:t>
      </w:r>
      <w:r>
        <w:rPr/>
        <w:t>tax</w:t>
      </w:r>
      <w:r>
        <w:rPr>
          <w:spacing w:val="-2"/>
        </w:rPr>
        <w:t> </w:t>
      </w:r>
      <w:r>
        <w:rPr/>
        <w:t>purposes),</w:t>
      </w:r>
      <w:r>
        <w:rPr>
          <w:spacing w:val="-1"/>
        </w:rPr>
        <w:t> </w:t>
      </w:r>
      <w:r>
        <w:rPr/>
        <w:t>social</w:t>
      </w:r>
      <w:r>
        <w:rPr>
          <w:spacing w:val="-4"/>
        </w:rPr>
        <w:t> </w:t>
      </w:r>
      <w:r>
        <w:rPr/>
        <w:t>security,</w:t>
      </w:r>
      <w:r>
        <w:rPr>
          <w:spacing w:val="-5"/>
        </w:rPr>
        <w:t> </w:t>
      </w:r>
      <w:r>
        <w:rPr/>
        <w:t>mutual legal assistance, police cooperation, etc. which were concluded prior to 24 May 2016 (for the agreements</w:t>
      </w:r>
      <w:r>
        <w:rPr>
          <w:spacing w:val="-12"/>
        </w:rPr>
        <w:t> </w:t>
      </w:r>
      <w:r>
        <w:rPr/>
        <w:t>relevant</w:t>
      </w:r>
      <w:r>
        <w:rPr>
          <w:spacing w:val="-12"/>
        </w:rPr>
        <w:t> </w:t>
      </w:r>
      <w:r>
        <w:rPr/>
        <w:t>to</w:t>
      </w:r>
      <w:r>
        <w:rPr>
          <w:spacing w:val="-9"/>
        </w:rPr>
        <w:t> </w:t>
      </w:r>
      <w:r>
        <w:rPr/>
        <w:t>the</w:t>
      </w:r>
      <w:r>
        <w:rPr>
          <w:spacing w:val="-15"/>
        </w:rPr>
        <w:t> </w:t>
      </w:r>
      <w:r>
        <w:rPr/>
        <w:t>GDPR)</w:t>
      </w:r>
      <w:r>
        <w:rPr>
          <w:spacing w:val="-12"/>
        </w:rPr>
        <w:t> </w:t>
      </w:r>
      <w:r>
        <w:rPr/>
        <w:t>or</w:t>
      </w:r>
      <w:r>
        <w:rPr>
          <w:spacing w:val="-13"/>
        </w:rPr>
        <w:t> </w:t>
      </w:r>
      <w:r>
        <w:rPr/>
        <w:t>6</w:t>
      </w:r>
      <w:r>
        <w:rPr>
          <w:spacing w:val="-12"/>
        </w:rPr>
        <w:t> </w:t>
      </w:r>
      <w:r>
        <w:rPr/>
        <w:t>May</w:t>
      </w:r>
      <w:r>
        <w:rPr>
          <w:spacing w:val="-10"/>
        </w:rPr>
        <w:t> </w:t>
      </w:r>
      <w:r>
        <w:rPr/>
        <w:t>2016</w:t>
      </w:r>
      <w:r>
        <w:rPr>
          <w:spacing w:val="-12"/>
        </w:rPr>
        <w:t> </w:t>
      </w:r>
      <w:r>
        <w:rPr/>
        <w:t>(for</w:t>
      </w:r>
      <w:r>
        <w:rPr>
          <w:spacing w:val="-13"/>
        </w:rPr>
        <w:t> </w:t>
      </w:r>
      <w:r>
        <w:rPr/>
        <w:t>the</w:t>
      </w:r>
      <w:r>
        <w:rPr>
          <w:spacing w:val="-10"/>
        </w:rPr>
        <w:t> </w:t>
      </w:r>
      <w:r>
        <w:rPr/>
        <w:t>agreements</w:t>
      </w:r>
      <w:r>
        <w:rPr>
          <w:spacing w:val="-10"/>
        </w:rPr>
        <w:t> </w:t>
      </w:r>
      <w:r>
        <w:rPr/>
        <w:t>relevant</w:t>
      </w:r>
      <w:r>
        <w:rPr>
          <w:spacing w:val="-11"/>
        </w:rPr>
        <w:t> </w:t>
      </w:r>
      <w:r>
        <w:rPr/>
        <w:t>to</w:t>
      </w:r>
      <w:r>
        <w:rPr>
          <w:spacing w:val="-11"/>
        </w:rPr>
        <w:t> </w:t>
      </w:r>
      <w:r>
        <w:rPr/>
        <w:t>the</w:t>
      </w:r>
      <w:r>
        <w:rPr>
          <w:spacing w:val="-10"/>
        </w:rPr>
        <w:t> </w:t>
      </w:r>
      <w:r>
        <w:rPr/>
        <w:t>LED).</w:t>
      </w:r>
      <w:r>
        <w:rPr>
          <w:spacing w:val="-13"/>
        </w:rPr>
        <w:t> </w:t>
      </w:r>
      <w:r>
        <w:rPr/>
        <w:t>This</w:t>
      </w:r>
      <w:r>
        <w:rPr>
          <w:spacing w:val="-11"/>
        </w:rPr>
        <w:t> </w:t>
      </w:r>
      <w:r>
        <w:rPr/>
        <w:t>review should</w:t>
      </w:r>
      <w:r>
        <w:rPr>
          <w:spacing w:val="-7"/>
        </w:rPr>
        <w:t> </w:t>
      </w:r>
      <w:r>
        <w:rPr/>
        <w:t>be</w:t>
      </w:r>
      <w:r>
        <w:rPr>
          <w:spacing w:val="-5"/>
        </w:rPr>
        <w:t> </w:t>
      </w:r>
      <w:r>
        <w:rPr/>
        <w:t>done</w:t>
      </w:r>
      <w:r>
        <w:rPr>
          <w:spacing w:val="-4"/>
        </w:rPr>
        <w:t> </w:t>
      </w:r>
      <w:r>
        <w:rPr/>
        <w:t>in</w:t>
      </w:r>
      <w:r>
        <w:rPr>
          <w:spacing w:val="-7"/>
        </w:rPr>
        <w:t> </w:t>
      </w:r>
      <w:r>
        <w:rPr/>
        <w:t>order</w:t>
      </w:r>
      <w:r>
        <w:rPr>
          <w:spacing w:val="-4"/>
        </w:rPr>
        <w:t> </w:t>
      </w:r>
      <w:r>
        <w:rPr/>
        <w:t>to</w:t>
      </w:r>
      <w:r>
        <w:rPr>
          <w:spacing w:val="-7"/>
        </w:rPr>
        <w:t> </w:t>
      </w:r>
      <w:r>
        <w:rPr/>
        <w:t>determine</w:t>
      </w:r>
      <w:r>
        <w:rPr>
          <w:spacing w:val="-5"/>
        </w:rPr>
        <w:t> </w:t>
      </w:r>
      <w:r>
        <w:rPr/>
        <w:t>whether,</w:t>
      </w:r>
      <w:r>
        <w:rPr>
          <w:spacing w:val="-7"/>
        </w:rPr>
        <w:t> </w:t>
      </w:r>
      <w:r>
        <w:rPr/>
        <w:t>while</w:t>
      </w:r>
      <w:r>
        <w:rPr>
          <w:spacing w:val="-7"/>
        </w:rPr>
        <w:t> </w:t>
      </w:r>
      <w:r>
        <w:rPr/>
        <w:t>pursuing</w:t>
      </w:r>
      <w:r>
        <w:rPr>
          <w:spacing w:val="-5"/>
        </w:rPr>
        <w:t> </w:t>
      </w:r>
      <w:r>
        <w:rPr/>
        <w:t>the</w:t>
      </w:r>
      <w:r>
        <w:rPr>
          <w:spacing w:val="-6"/>
        </w:rPr>
        <w:t> </w:t>
      </w:r>
      <w:r>
        <w:rPr/>
        <w:t>important</w:t>
      </w:r>
      <w:r>
        <w:rPr>
          <w:spacing w:val="-4"/>
        </w:rPr>
        <w:t> </w:t>
      </w:r>
      <w:r>
        <w:rPr/>
        <w:t>public</w:t>
      </w:r>
      <w:r>
        <w:rPr>
          <w:spacing w:val="-5"/>
        </w:rPr>
        <w:t> </w:t>
      </w:r>
      <w:r>
        <w:rPr/>
        <w:t>interests</w:t>
      </w:r>
      <w:r>
        <w:rPr>
          <w:spacing w:val="-8"/>
        </w:rPr>
        <w:t> </w:t>
      </w:r>
      <w:r>
        <w:rPr/>
        <w:t>covered by</w:t>
      </w:r>
      <w:r>
        <w:rPr>
          <w:spacing w:val="-2"/>
        </w:rPr>
        <w:t> </w:t>
      </w:r>
      <w:r>
        <w:rPr/>
        <w:t>the</w:t>
      </w:r>
      <w:r>
        <w:rPr>
          <w:spacing w:val="-2"/>
        </w:rPr>
        <w:t> </w:t>
      </w:r>
      <w:r>
        <w:rPr/>
        <w:t>agreements,</w:t>
      </w:r>
      <w:r>
        <w:rPr>
          <w:spacing w:val="-2"/>
        </w:rPr>
        <w:t> </w:t>
      </w:r>
      <w:r>
        <w:rPr/>
        <w:t>further</w:t>
      </w:r>
      <w:r>
        <w:rPr>
          <w:spacing w:val="-5"/>
        </w:rPr>
        <w:t> </w:t>
      </w:r>
      <w:r>
        <w:rPr/>
        <w:t>alignment</w:t>
      </w:r>
      <w:r>
        <w:rPr>
          <w:spacing w:val="-2"/>
        </w:rPr>
        <w:t> </w:t>
      </w:r>
      <w:r>
        <w:rPr/>
        <w:t>with</w:t>
      </w:r>
      <w:r>
        <w:rPr>
          <w:spacing w:val="-2"/>
        </w:rPr>
        <w:t> </w:t>
      </w:r>
      <w:r>
        <w:rPr/>
        <w:t>current</w:t>
      </w:r>
      <w:r>
        <w:rPr>
          <w:spacing w:val="-2"/>
        </w:rPr>
        <w:t> </w:t>
      </w:r>
      <w:r>
        <w:rPr/>
        <w:t>Union</w:t>
      </w:r>
      <w:r>
        <w:rPr>
          <w:spacing w:val="-3"/>
        </w:rPr>
        <w:t> </w:t>
      </w:r>
      <w:r>
        <w:rPr/>
        <w:t>legislation</w:t>
      </w:r>
      <w:r>
        <w:rPr>
          <w:spacing w:val="-3"/>
        </w:rPr>
        <w:t> </w:t>
      </w:r>
      <w:r>
        <w:rPr/>
        <w:t>and</w:t>
      </w:r>
      <w:r>
        <w:rPr>
          <w:spacing w:val="-3"/>
        </w:rPr>
        <w:t> </w:t>
      </w:r>
      <w:r>
        <w:rPr/>
        <w:t>case</w:t>
      </w:r>
      <w:r>
        <w:rPr>
          <w:spacing w:val="-1"/>
        </w:rPr>
        <w:t> </w:t>
      </w:r>
      <w:r>
        <w:rPr/>
        <w:t>law</w:t>
      </w:r>
      <w:r>
        <w:rPr>
          <w:spacing w:val="-5"/>
        </w:rPr>
        <w:t> </w:t>
      </w:r>
      <w:r>
        <w:rPr/>
        <w:t>on</w:t>
      </w:r>
      <w:r>
        <w:rPr>
          <w:spacing w:val="-3"/>
        </w:rPr>
        <w:t> </w:t>
      </w:r>
      <w:r>
        <w:rPr/>
        <w:t>data</w:t>
      </w:r>
      <w:r>
        <w:rPr>
          <w:spacing w:val="-2"/>
        </w:rPr>
        <w:t> </w:t>
      </w:r>
      <w:r>
        <w:rPr/>
        <w:t>protection, as well as EDPB guidance might be</w:t>
      </w:r>
      <w:r>
        <w:rPr>
          <w:spacing w:val="-5"/>
        </w:rPr>
        <w:t> </w:t>
      </w:r>
      <w:r>
        <w:rPr/>
        <w:t>needed.</w:t>
      </w:r>
    </w:p>
    <w:p>
      <w:pPr>
        <w:spacing w:after="0" w:line="276" w:lineRule="auto"/>
        <w:jc w:val="both"/>
        <w:sectPr>
          <w:footerReference w:type="default" r:id="rId5"/>
          <w:type w:val="continuous"/>
          <w:pgSz w:w="11910" w:h="16840"/>
          <w:pgMar w:footer="1019" w:top="0" w:bottom="1200" w:left="1340" w:right="1320"/>
          <w:pgNumType w:start="1"/>
        </w:sectPr>
      </w:pPr>
    </w:p>
    <w:p>
      <w:pPr>
        <w:pStyle w:val="BodyText"/>
        <w:spacing w:line="276" w:lineRule="auto" w:before="41"/>
        <w:ind w:left="100" w:right="113"/>
        <w:jc w:val="both"/>
      </w:pPr>
      <w:r>
        <w:rPr/>
        <w:t>The EDPB recommends that Member States take into account for this review the GDPR and LED themselves,</w:t>
      </w:r>
      <w:r>
        <w:rPr>
          <w:spacing w:val="-5"/>
        </w:rPr>
        <w:t> </w:t>
      </w:r>
      <w:r>
        <w:rPr/>
        <w:t>the</w:t>
      </w:r>
      <w:r>
        <w:rPr>
          <w:spacing w:val="-6"/>
        </w:rPr>
        <w:t> </w:t>
      </w:r>
      <w:r>
        <w:rPr/>
        <w:t>relevant</w:t>
      </w:r>
      <w:r>
        <w:rPr>
          <w:spacing w:val="-4"/>
        </w:rPr>
        <w:t> </w:t>
      </w:r>
      <w:r>
        <w:rPr/>
        <w:t>EDPB</w:t>
      </w:r>
      <w:r>
        <w:rPr>
          <w:spacing w:val="-6"/>
        </w:rPr>
        <w:t> </w:t>
      </w:r>
      <w:r>
        <w:rPr/>
        <w:t>guidelines</w:t>
      </w:r>
      <w:r>
        <w:rPr>
          <w:spacing w:val="-5"/>
        </w:rPr>
        <w:t> </w:t>
      </w:r>
      <w:r>
        <w:rPr/>
        <w:t>applicable</w:t>
      </w:r>
      <w:r>
        <w:rPr>
          <w:spacing w:val="-4"/>
        </w:rPr>
        <w:t> </w:t>
      </w:r>
      <w:r>
        <w:rPr/>
        <w:t>to</w:t>
      </w:r>
      <w:r>
        <w:rPr>
          <w:spacing w:val="-4"/>
        </w:rPr>
        <w:t> </w:t>
      </w:r>
      <w:r>
        <w:rPr/>
        <w:t>international</w:t>
      </w:r>
      <w:r>
        <w:rPr>
          <w:spacing w:val="-5"/>
        </w:rPr>
        <w:t> </w:t>
      </w:r>
      <w:r>
        <w:rPr/>
        <w:t>transfers,</w:t>
      </w:r>
      <w:r>
        <w:rPr>
          <w:spacing w:val="-5"/>
        </w:rPr>
        <w:t> </w:t>
      </w:r>
      <w:r>
        <w:rPr/>
        <w:t>as</w:t>
      </w:r>
      <w:r>
        <w:rPr>
          <w:spacing w:val="-8"/>
        </w:rPr>
        <w:t> </w:t>
      </w:r>
      <w:r>
        <w:rPr/>
        <w:t>well</w:t>
      </w:r>
      <w:r>
        <w:rPr>
          <w:spacing w:val="-5"/>
        </w:rPr>
        <w:t> </w:t>
      </w:r>
      <w:r>
        <w:rPr/>
        <w:t>as</w:t>
      </w:r>
      <w:r>
        <w:rPr>
          <w:spacing w:val="-6"/>
        </w:rPr>
        <w:t> </w:t>
      </w:r>
      <w:r>
        <w:rPr/>
        <w:t>the</w:t>
      </w:r>
      <w:r>
        <w:rPr>
          <w:spacing w:val="-5"/>
        </w:rPr>
        <w:t> </w:t>
      </w:r>
      <w:r>
        <w:rPr/>
        <w:t>case-law of the European Court of Justice, including the Schrems II judgment of 16 July</w:t>
      </w:r>
      <w:r>
        <w:rPr>
          <w:spacing w:val="-20"/>
        </w:rPr>
        <w:t> </w:t>
      </w:r>
      <w:r>
        <w:rPr/>
        <w:t>2020</w:t>
      </w:r>
      <w:r>
        <w:rPr>
          <w:vertAlign w:val="superscript"/>
        </w:rPr>
        <w:t>1</w:t>
      </w:r>
      <w:r>
        <w:rPr>
          <w:vertAlign w:val="baseline"/>
        </w:rPr>
        <w:t>.</w:t>
      </w:r>
    </w:p>
    <w:p>
      <w:pPr>
        <w:pStyle w:val="BodyText"/>
        <w:spacing w:line="276" w:lineRule="auto" w:before="199"/>
        <w:ind w:left="100" w:right="114"/>
        <w:jc w:val="both"/>
      </w:pPr>
      <w:r>
        <w:rPr/>
        <w:t>In particular, the EDPB issued Guidelines 2/2020 on articles 46 (2) (a) and 46 (3) (b) of Regulation 2016/679 for transfers of personal data between EEA and non-EEA public authorities and bodies</w:t>
      </w:r>
      <w:r>
        <w:rPr>
          <w:vertAlign w:val="superscript"/>
        </w:rPr>
        <w:t>2</w:t>
      </w:r>
      <w:r>
        <w:rPr>
          <w:vertAlign w:val="baseline"/>
        </w:rPr>
        <w:t> in December 2020. These guidelines set forth the standard under the GDPR regarding safeguards to be included in legally binding instruments or administrative arrangements between public bodies. The EDPB has also included in its work programme for 2021-2022</w:t>
      </w:r>
      <w:r>
        <w:rPr>
          <w:vertAlign w:val="superscript"/>
        </w:rPr>
        <w:t>3</w:t>
      </w:r>
      <w:r>
        <w:rPr>
          <w:vertAlign w:val="baseline"/>
        </w:rPr>
        <w:t> specific guidance on the safeguards to be included in legally binding instruments pursuant to Article 37(1)(a) LED. National Supervisory Authorities (Article 51 GDPR and Article 41 LED) are available to assist Member States in this process.</w:t>
      </w:r>
    </w:p>
    <w:p>
      <w:pPr>
        <w:pStyle w:val="BodyText"/>
      </w:pPr>
    </w:p>
    <w:p>
      <w:pPr>
        <w:pStyle w:val="BodyText"/>
        <w:spacing w:before="5"/>
        <w:rPr>
          <w:sz w:val="17"/>
        </w:rPr>
      </w:pPr>
    </w:p>
    <w:p>
      <w:pPr>
        <w:pStyle w:val="BodyText"/>
        <w:spacing w:line="453" w:lineRule="auto"/>
        <w:ind w:left="100" w:right="5535"/>
      </w:pPr>
      <w:r>
        <w:rPr/>
        <w:t>For the European Data Protection Board The Chair</w:t>
      </w:r>
    </w:p>
    <w:p>
      <w:pPr>
        <w:pStyle w:val="BodyText"/>
        <w:spacing w:before="3"/>
        <w:ind w:left="100"/>
      </w:pPr>
      <w:r>
        <w:rPr/>
        <w:t>(Andrea Jelinek)</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6"/>
        </w:rPr>
      </w:pPr>
      <w:r>
        <w:rPr/>
        <w:pict>
          <v:rect style="position:absolute;margin-left:72.024002pt;margin-top:12.208898pt;width:144.020pt;height:.71997pt;mso-position-horizontal-relative:page;mso-position-vertical-relative:paragraph;z-index:-15728128;mso-wrap-distance-left:0;mso-wrap-distance-right:0" filled="true" fillcolor="#000000" stroked="false">
            <v:fill type="solid"/>
            <w10:wrap type="topAndBottom"/>
          </v:rect>
        </w:pict>
      </w:r>
    </w:p>
    <w:p>
      <w:pPr>
        <w:spacing w:before="73"/>
        <w:ind w:left="100" w:right="120" w:firstLine="0"/>
        <w:jc w:val="left"/>
        <w:rPr>
          <w:sz w:val="20"/>
        </w:rPr>
      </w:pPr>
      <w:r>
        <w:rPr>
          <w:sz w:val="20"/>
          <w:vertAlign w:val="superscript"/>
        </w:rPr>
        <w:t>1</w:t>
      </w:r>
      <w:r>
        <w:rPr>
          <w:sz w:val="20"/>
          <w:vertAlign w:val="baseline"/>
        </w:rPr>
        <w:t>CJEU judgment of 16 July 2020, Data Protection Commissioner v Facebook Ireland Ltd, Maximillian Schrems (C-311/18)</w:t>
      </w:r>
    </w:p>
    <w:p>
      <w:pPr>
        <w:spacing w:line="243" w:lineRule="exact" w:before="2"/>
        <w:ind w:left="100" w:right="0" w:firstLine="0"/>
        <w:jc w:val="left"/>
        <w:rPr>
          <w:sz w:val="20"/>
        </w:rPr>
      </w:pPr>
      <w:r>
        <w:rPr>
          <w:sz w:val="20"/>
          <w:vertAlign w:val="superscript"/>
        </w:rPr>
        <w:t>2</w:t>
      </w:r>
      <w:hyperlink r:id="rId7">
        <w:r>
          <w:rPr>
            <w:color w:val="0000FF"/>
            <w:sz w:val="20"/>
            <w:u w:val="single" w:color="0000FF"/>
            <w:vertAlign w:val="baseline"/>
          </w:rPr>
          <w:t>https://edpb.europa.eu/sites/edpb/files/files/file1/edpb_guidelines_202002_art46guidelines_internationaltr</w:t>
        </w:r>
      </w:hyperlink>
    </w:p>
    <w:p>
      <w:pPr>
        <w:spacing w:line="243" w:lineRule="exact" w:before="0"/>
        <w:ind w:left="100" w:right="0" w:firstLine="0"/>
        <w:jc w:val="left"/>
        <w:rPr>
          <w:sz w:val="20"/>
        </w:rPr>
      </w:pPr>
      <w:hyperlink r:id="rId7">
        <w:r>
          <w:rPr>
            <w:color w:val="0000FF"/>
            <w:sz w:val="20"/>
            <w:u w:val="single" w:color="0000FF"/>
          </w:rPr>
          <w:t>ansferspublicbodies_v2_en.pdf</w:t>
        </w:r>
      </w:hyperlink>
    </w:p>
    <w:p>
      <w:pPr>
        <w:spacing w:before="0"/>
        <w:ind w:left="100" w:right="0" w:firstLine="0"/>
        <w:jc w:val="left"/>
        <w:rPr>
          <w:sz w:val="20"/>
        </w:rPr>
      </w:pPr>
      <w:r>
        <w:rPr>
          <w:sz w:val="20"/>
          <w:vertAlign w:val="superscript"/>
        </w:rPr>
        <w:t>3</w:t>
      </w:r>
      <w:hyperlink r:id="rId8">
        <w:r>
          <w:rPr>
            <w:color w:val="0000FF"/>
            <w:sz w:val="20"/>
            <w:u w:val="single" w:color="0000FF"/>
            <w:vertAlign w:val="baseline"/>
          </w:rPr>
          <w:t>https://edpb.europa.eu/our-work-tools/our-documents/work-programme/edpb-work-programme-</w:t>
        </w:r>
      </w:hyperlink>
    </w:p>
    <w:p>
      <w:pPr>
        <w:spacing w:before="1"/>
        <w:ind w:left="100" w:right="0" w:firstLine="0"/>
        <w:jc w:val="left"/>
        <w:rPr>
          <w:sz w:val="20"/>
        </w:rPr>
      </w:pPr>
      <w:hyperlink r:id="rId8">
        <w:r>
          <w:rPr>
            <w:color w:val="0000FF"/>
            <w:sz w:val="20"/>
            <w:u w:val="single" w:color="0000FF"/>
          </w:rPr>
          <w:t>20212022_en</w:t>
        </w:r>
      </w:hyperlink>
    </w:p>
    <w:sectPr>
      <w:pgSz w:w="11910" w:h="16840"/>
      <w:pgMar w:header="0" w:footer="1019" w:top="1380" w:bottom="12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4.299988pt;margin-top:779.959961pt;width:12.1pt;height:14pt;mso-position-horizontal-relative:page;mso-position-vertical-relative:page;z-index:-15787008" type="#_x0000_t202" filled="false" stroked="false">
          <v:textbox inset="0,0,0,0">
            <w:txbxContent>
              <w:p>
                <w:pPr>
                  <w:spacing w:line="264" w:lineRule="exact" w:before="0"/>
                  <w:ind w:left="60" w:right="0" w:firstLine="0"/>
                  <w:jc w:val="left"/>
                  <w:rPr>
                    <w:sz w:val="24"/>
                  </w:rPr>
                </w:pPr>
                <w:r>
                  <w:rPr/>
                  <w:fldChar w:fldCharType="begin"/>
                </w:r>
                <w:r>
                  <w:rPr>
                    <w:sz w:val="24"/>
                  </w:rPr>
                  <w:instrText> PAGE </w:instrText>
                </w:r>
                <w:r>
                  <w:rPr/>
                  <w:fldChar w:fldCharType="separate"/>
                </w:r>
                <w:r>
                  <w:rPr/>
                  <w:t>1</w:t>
                </w:r>
                <w:r>
                  <w:rPr/>
                  <w:fldChar w:fldCharType="end"/>
                </w:r>
              </w:p>
            </w:txbxContent>
          </v:textbox>
          <w10:wrap type="none"/>
        </v:shape>
      </w:pict>
    </w:r>
    <w:r>
      <w:rPr/>
      <w:pict>
        <v:shape style="position:absolute;margin-left:71.024002pt;margin-top:794.359985pt;width:40.8pt;height:13.05pt;mso-position-horizontal-relative:page;mso-position-vertical-relative:page;z-index:-15786496" type="#_x0000_t202" filled="false" stroked="false">
          <v:textbox inset="0,0,0,0">
            <w:txbxContent>
              <w:p>
                <w:pPr>
                  <w:pStyle w:val="BodyText"/>
                  <w:spacing w:line="245" w:lineRule="exact"/>
                  <w:ind w:left="20"/>
                </w:pPr>
                <w:r>
                  <w:rPr/>
                  <w:t>Adopted</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Title" w:type="paragraph">
    <w:name w:val="Title"/>
    <w:basedOn w:val="Normal"/>
    <w:uiPriority w:val="1"/>
    <w:qFormat/>
    <w:pPr>
      <w:spacing w:before="27"/>
      <w:ind w:left="261" w:right="278"/>
      <w:jc w:val="center"/>
    </w:pPr>
    <w:rPr>
      <w:rFonts w:ascii="Calibri" w:hAnsi="Calibri" w:eastAsia="Calibri" w:cs="Calibri"/>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edpb.europa.eu/sites/edpb/files/files/file1/edpb_guidelines_202002_art46guidelines_internationaltransferspublicbodies_v2_en.pdf" TargetMode="External"/><Relationship Id="rId8" Type="http://schemas.openxmlformats.org/officeDocument/2006/relationships/hyperlink" Target="https://edpb.europa.eu/our-work-tools/our-documents/work-programme/edpb-work-programme-20212022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https://edpb.europa.eu/sites/edpb/files/files/file1/edpb_statement042021_international_agreements_including_transfers_en.pdf</dc:subject>
  <dcterms:created xsi:type="dcterms:W3CDTF">2021-04-23T07:04:11Z</dcterms:created>
  <dcterms:modified xsi:type="dcterms:W3CDTF">2021-04-23T07:04:11Z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Microsoft® Word 2016</vt:lpwstr>
  </property>
  <property fmtid="{D5CDD505-2E9C-101B-9397-08002B2CF9AE}" pid="4" name="LastSaved">
    <vt:filetime>2021-04-23T00:00:00Z</vt:filetime>
  </property>
</Properties>
</file>